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4820" w14:textId="2288FFF9" w:rsidR="00547D16" w:rsidRPr="00547D16" w:rsidRDefault="00547D16" w:rsidP="00547D16">
      <w:pPr>
        <w:spacing w:after="120"/>
        <w:jc w:val="both"/>
        <w:rPr>
          <w:rFonts w:ascii="Source Sans Pro" w:eastAsia="Calibri" w:hAnsi="Source Sans Pro" w:cs="Calibri"/>
          <w:color w:val="808080"/>
          <w:spacing w:val="20"/>
          <w:szCs w:val="22"/>
          <w:lang w:val="en-US" w:eastAsia="en-US"/>
        </w:rPr>
      </w:pPr>
      <w:r w:rsidRPr="00547D16">
        <w:rPr>
          <w:rFonts w:ascii="Source Sans Pro" w:eastAsia="Calibri" w:hAnsi="Source Sans Pro" w:cs="Calibri"/>
          <w:color w:val="808080"/>
          <w:spacing w:val="20"/>
          <w:szCs w:val="22"/>
          <w:lang w:val="en-US" w:eastAsia="en-US"/>
        </w:rPr>
        <w:t>CONGRESS</w:t>
      </w:r>
    </w:p>
    <w:p w14:paraId="5F6CA963" w14:textId="7569178E" w:rsidR="00547D16" w:rsidRPr="00365239" w:rsidRDefault="00547D16" w:rsidP="00365239">
      <w:pPr>
        <w:keepNext/>
        <w:keepLines/>
        <w:spacing w:after="240"/>
        <w:jc w:val="both"/>
        <w:outlineLvl w:val="0"/>
        <w:rPr>
          <w:rStyle w:val="FITA2"/>
          <w:rFonts w:ascii="Source Sans Pro" w:hAnsi="Source Sans Pro"/>
          <w:color w:val="004B9B"/>
          <w:sz w:val="36"/>
          <w:szCs w:val="36"/>
          <w:lang w:val="en-US" w:eastAsia="en-US"/>
        </w:rPr>
      </w:pPr>
      <w:r w:rsidRPr="00547D16">
        <w:rPr>
          <w:rFonts w:ascii="Source Sans Pro" w:hAnsi="Source Sans Pro"/>
          <w:b/>
          <w:bCs/>
          <w:color w:val="004B9B"/>
          <w:sz w:val="36"/>
          <w:szCs w:val="36"/>
          <w:lang w:val="en-US" w:eastAsia="en-US"/>
        </w:rPr>
        <w:t>Motion for Law Form</w:t>
      </w:r>
    </w:p>
    <w:p w14:paraId="16B6938A" w14:textId="5BEFEAAD" w:rsidR="00931AE4" w:rsidRPr="00365239" w:rsidRDefault="00931AE4" w:rsidP="00365239">
      <w:pPr>
        <w:pStyle w:val="FITAnormal"/>
        <w:spacing w:line="276" w:lineRule="auto"/>
        <w:jc w:val="left"/>
        <w:rPr>
          <w:rFonts w:ascii="Source Sans Pro" w:hAnsi="Source Sans Pro"/>
          <w:sz w:val="22"/>
          <w:szCs w:val="22"/>
        </w:rPr>
      </w:pPr>
      <w:r w:rsidRPr="00365239">
        <w:rPr>
          <w:rFonts w:ascii="Source Sans Pro" w:hAnsi="Source Sans Pro"/>
          <w:sz w:val="22"/>
          <w:szCs w:val="22"/>
        </w:rPr>
        <w:t>According to W</w:t>
      </w:r>
      <w:r w:rsidR="00365239">
        <w:rPr>
          <w:rFonts w:ascii="Source Sans Pro" w:hAnsi="Source Sans Pro"/>
          <w:sz w:val="22"/>
          <w:szCs w:val="22"/>
        </w:rPr>
        <w:t xml:space="preserve">orld </w:t>
      </w:r>
      <w:r w:rsidRPr="00365239">
        <w:rPr>
          <w:rFonts w:ascii="Source Sans Pro" w:hAnsi="Source Sans Pro"/>
          <w:sz w:val="22"/>
          <w:szCs w:val="22"/>
        </w:rPr>
        <w:t>A</w:t>
      </w:r>
      <w:r w:rsidR="00365239">
        <w:rPr>
          <w:rFonts w:ascii="Source Sans Pro" w:hAnsi="Source Sans Pro"/>
          <w:sz w:val="22"/>
          <w:szCs w:val="22"/>
        </w:rPr>
        <w:t>rchery</w:t>
      </w:r>
      <w:r w:rsidRPr="00365239">
        <w:rPr>
          <w:rFonts w:ascii="Source Sans Pro" w:hAnsi="Source Sans Pro"/>
          <w:sz w:val="22"/>
          <w:szCs w:val="22"/>
        </w:rPr>
        <w:t xml:space="preserve"> Constitution </w:t>
      </w:r>
      <w:r w:rsidR="00365239">
        <w:rPr>
          <w:rFonts w:ascii="Source Sans Pro" w:hAnsi="Source Sans Pro"/>
          <w:sz w:val="22"/>
          <w:szCs w:val="22"/>
        </w:rPr>
        <w:t>and</w:t>
      </w:r>
      <w:r w:rsidRPr="00365239">
        <w:rPr>
          <w:rFonts w:ascii="Source Sans Pro" w:hAnsi="Source Sans Pro"/>
          <w:sz w:val="22"/>
          <w:szCs w:val="22"/>
        </w:rPr>
        <w:t xml:space="preserve"> Rules, Book 1, Art</w:t>
      </w:r>
      <w:r w:rsidR="00365239">
        <w:rPr>
          <w:rFonts w:ascii="Source Sans Pro" w:hAnsi="Source Sans Pro"/>
          <w:sz w:val="22"/>
          <w:szCs w:val="22"/>
        </w:rPr>
        <w:t xml:space="preserve">icles </w:t>
      </w:r>
      <w:hyperlink r:id="rId6" w:history="1">
        <w:r w:rsidRPr="00365239">
          <w:rPr>
            <w:rStyle w:val="Hyperlink"/>
            <w:rFonts w:ascii="Source Sans Pro" w:hAnsi="Source Sans Pro"/>
            <w:sz w:val="22"/>
            <w:szCs w:val="22"/>
          </w:rPr>
          <w:t>1.</w:t>
        </w:r>
        <w:r w:rsidR="00365239" w:rsidRPr="00365239">
          <w:rPr>
            <w:rStyle w:val="Hyperlink"/>
            <w:rFonts w:ascii="Source Sans Pro" w:hAnsi="Source Sans Pro"/>
            <w:sz w:val="22"/>
            <w:szCs w:val="22"/>
          </w:rPr>
          <w:t>7.7</w:t>
        </w:r>
        <w:r w:rsidRPr="00365239">
          <w:rPr>
            <w:rStyle w:val="Hyperlink"/>
            <w:rFonts w:ascii="Source Sans Pro" w:hAnsi="Source Sans Pro"/>
            <w:sz w:val="22"/>
            <w:szCs w:val="22"/>
          </w:rPr>
          <w:t>,</w:t>
        </w:r>
        <w:r w:rsidR="00365239" w:rsidRPr="00365239">
          <w:rPr>
            <w:rStyle w:val="Hyperlink"/>
            <w:rFonts w:ascii="Source Sans Pro" w:hAnsi="Source Sans Pro"/>
            <w:sz w:val="22"/>
            <w:szCs w:val="22"/>
          </w:rPr>
          <w:t xml:space="preserve"> 1.7.13,</w:t>
        </w:r>
        <w:r w:rsidRPr="00365239">
          <w:rPr>
            <w:rStyle w:val="Hyperlink"/>
            <w:rFonts w:ascii="Source Sans Pro" w:hAnsi="Source Sans Pro"/>
            <w:sz w:val="22"/>
            <w:szCs w:val="22"/>
          </w:rPr>
          <w:t xml:space="preserve"> 1.</w:t>
        </w:r>
        <w:r w:rsidR="00365239" w:rsidRPr="00365239">
          <w:rPr>
            <w:rStyle w:val="Hyperlink"/>
            <w:rFonts w:ascii="Source Sans Pro" w:hAnsi="Source Sans Pro"/>
            <w:sz w:val="22"/>
            <w:szCs w:val="22"/>
          </w:rPr>
          <w:t>7</w:t>
        </w:r>
        <w:r w:rsidRPr="00365239">
          <w:rPr>
            <w:rStyle w:val="Hyperlink"/>
            <w:rFonts w:ascii="Source Sans Pro" w:hAnsi="Source Sans Pro"/>
            <w:sz w:val="22"/>
            <w:szCs w:val="22"/>
          </w:rPr>
          <w:t>.14</w:t>
        </w:r>
      </w:hyperlink>
      <w:r w:rsidRPr="00365239">
        <w:rPr>
          <w:rFonts w:ascii="Source Sans Pro" w:hAnsi="Source Sans Pro"/>
          <w:sz w:val="22"/>
          <w:szCs w:val="22"/>
        </w:rPr>
        <w:t xml:space="preserve">, Appendix 1, </w:t>
      </w:r>
      <w:hyperlink r:id="rId7" w:history="1">
        <w:r w:rsidRPr="00365239">
          <w:rPr>
            <w:rStyle w:val="Hyperlink"/>
            <w:rFonts w:ascii="Source Sans Pro" w:hAnsi="Source Sans Pro"/>
            <w:sz w:val="22"/>
            <w:szCs w:val="22"/>
          </w:rPr>
          <w:t>Art</w:t>
        </w:r>
        <w:r w:rsidR="00365239" w:rsidRPr="00365239">
          <w:rPr>
            <w:rStyle w:val="Hyperlink"/>
            <w:rFonts w:ascii="Source Sans Pro" w:hAnsi="Source Sans Pro"/>
            <w:sz w:val="22"/>
            <w:szCs w:val="22"/>
          </w:rPr>
          <w:t xml:space="preserve">icle </w:t>
        </w:r>
        <w:r w:rsidRPr="00365239">
          <w:rPr>
            <w:rStyle w:val="Hyperlink"/>
            <w:rFonts w:ascii="Source Sans Pro" w:hAnsi="Source Sans Pro"/>
            <w:sz w:val="22"/>
            <w:szCs w:val="22"/>
          </w:rPr>
          <w:t>6.4</w:t>
        </w:r>
      </w:hyperlink>
      <w:r w:rsidR="00142587">
        <w:rPr>
          <w:rStyle w:val="Hyperlink"/>
          <w:rFonts w:ascii="Source Sans Pro" w:hAnsi="Source Sans Pro"/>
          <w:sz w:val="22"/>
          <w:szCs w:val="22"/>
        </w:rPr>
        <w:t>.</w:t>
      </w:r>
      <w:r w:rsidR="00365239">
        <w:rPr>
          <w:rFonts w:ascii="Source Sans Pro" w:hAnsi="Source Sans Pro"/>
          <w:sz w:val="22"/>
          <w:szCs w:val="22"/>
        </w:rPr>
        <w:t xml:space="preserve"> </w:t>
      </w:r>
      <w:r w:rsidR="00142587">
        <w:rPr>
          <w:rFonts w:ascii="Source Sans Pro" w:hAnsi="Source Sans Pro"/>
          <w:sz w:val="22"/>
          <w:szCs w:val="22"/>
        </w:rPr>
        <w:t>T</w:t>
      </w:r>
      <w:r w:rsidRPr="00365239">
        <w:rPr>
          <w:rFonts w:ascii="Source Sans Pro" w:hAnsi="Source Sans Pro"/>
          <w:sz w:val="22"/>
          <w:szCs w:val="22"/>
        </w:rPr>
        <w:t>o be submitted to the W</w:t>
      </w:r>
      <w:r w:rsidR="00D84B46" w:rsidRPr="00365239">
        <w:rPr>
          <w:rFonts w:ascii="Source Sans Pro" w:hAnsi="Source Sans Pro"/>
          <w:sz w:val="22"/>
          <w:szCs w:val="22"/>
        </w:rPr>
        <w:t xml:space="preserve">orld </w:t>
      </w:r>
      <w:r w:rsidRPr="00365239">
        <w:rPr>
          <w:rFonts w:ascii="Source Sans Pro" w:hAnsi="Source Sans Pro"/>
          <w:sz w:val="22"/>
          <w:szCs w:val="22"/>
        </w:rPr>
        <w:t>A</w:t>
      </w:r>
      <w:r w:rsidR="00D84B46" w:rsidRPr="00365239">
        <w:rPr>
          <w:rFonts w:ascii="Source Sans Pro" w:hAnsi="Source Sans Pro"/>
          <w:sz w:val="22"/>
          <w:szCs w:val="22"/>
        </w:rPr>
        <w:t>rchery</w:t>
      </w:r>
      <w:r w:rsidRPr="00365239">
        <w:rPr>
          <w:rFonts w:ascii="Source Sans Pro" w:hAnsi="Source Sans Pro"/>
          <w:sz w:val="22"/>
          <w:szCs w:val="22"/>
        </w:rPr>
        <w:t xml:space="preserve"> Office </w:t>
      </w:r>
      <w:hyperlink r:id="rId8" w:history="1">
        <w:r w:rsidR="00547D16" w:rsidRPr="00365239">
          <w:rPr>
            <w:rStyle w:val="Hyperlink"/>
            <w:rFonts w:ascii="Source Sans Pro" w:hAnsi="Source Sans Pro"/>
            <w:sz w:val="22"/>
            <w:szCs w:val="22"/>
          </w:rPr>
          <w:t>congress@archery.sport</w:t>
        </w:r>
      </w:hyperlink>
      <w:r w:rsidR="00547D16" w:rsidRPr="00365239">
        <w:rPr>
          <w:rFonts w:ascii="Source Sans Pro" w:hAnsi="Source Sans Pro"/>
          <w:sz w:val="22"/>
          <w:szCs w:val="22"/>
        </w:rPr>
        <w:t xml:space="preserve"> </w:t>
      </w:r>
      <w:r w:rsidR="00142587">
        <w:rPr>
          <w:rFonts w:ascii="Source Sans Pro" w:hAnsi="Source Sans Pro"/>
          <w:sz w:val="22"/>
          <w:szCs w:val="22"/>
        </w:rPr>
        <w:t xml:space="preserve">latest by </w:t>
      </w:r>
      <w:r w:rsidR="00142587" w:rsidRPr="008A6135">
        <w:rPr>
          <w:rFonts w:ascii="Source Sans Pro" w:hAnsi="Source Sans Pro"/>
          <w:b/>
          <w:bCs/>
          <w:sz w:val="22"/>
          <w:szCs w:val="22"/>
        </w:rPr>
        <w:t>20 April 2021</w:t>
      </w:r>
      <w:r w:rsidR="00142587">
        <w:rPr>
          <w:rFonts w:ascii="Source Sans Pro" w:hAnsi="Source Sans Pro"/>
          <w:sz w:val="22"/>
          <w:szCs w:val="22"/>
        </w:rPr>
        <w:t>.</w:t>
      </w:r>
    </w:p>
    <w:p w14:paraId="7546CA1B" w14:textId="77777777" w:rsidR="00931AE4" w:rsidRPr="00547D16" w:rsidRDefault="00931AE4" w:rsidP="00931AE4">
      <w:pPr>
        <w:rPr>
          <w:rFonts w:ascii="Source Sans Pro" w:hAnsi="Source Sans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7828"/>
      </w:tblGrid>
      <w:tr w:rsidR="00931AE4" w:rsidRPr="00547D16" w14:paraId="5A1A899A" w14:textId="77777777" w:rsidTr="00547D16">
        <w:tc>
          <w:tcPr>
            <w:tcW w:w="1809" w:type="dxa"/>
          </w:tcPr>
          <w:p w14:paraId="37C457C2" w14:textId="77777777" w:rsidR="00931AE4" w:rsidRPr="00547D16" w:rsidRDefault="00931AE4" w:rsidP="00365239">
            <w:pPr>
              <w:pStyle w:val="FITAnormal"/>
              <w:jc w:val="left"/>
              <w:rPr>
                <w:rFonts w:ascii="Source Sans Pro" w:hAnsi="Source Sans Pro"/>
              </w:rPr>
            </w:pPr>
          </w:p>
          <w:p w14:paraId="02678153"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1. Submitted by:</w:t>
            </w:r>
          </w:p>
          <w:p w14:paraId="57D90A71" w14:textId="77777777" w:rsidR="00931AE4" w:rsidRPr="00547D16" w:rsidRDefault="00931AE4" w:rsidP="00365239">
            <w:pPr>
              <w:pStyle w:val="FITAnormal"/>
              <w:jc w:val="left"/>
              <w:rPr>
                <w:rFonts w:ascii="Source Sans Pro" w:hAnsi="Source Sans Pro"/>
              </w:rPr>
            </w:pPr>
          </w:p>
        </w:tc>
        <w:tc>
          <w:tcPr>
            <w:tcW w:w="7938" w:type="dxa"/>
          </w:tcPr>
          <w:p w14:paraId="3C728139" w14:textId="77777777" w:rsidR="00931AE4" w:rsidRPr="00547D16" w:rsidRDefault="00931AE4" w:rsidP="0062368F">
            <w:pPr>
              <w:pStyle w:val="FITAnormal"/>
              <w:rPr>
                <w:rFonts w:ascii="Source Sans Pro" w:hAnsi="Source Sans Pro"/>
              </w:rPr>
            </w:pPr>
          </w:p>
          <w:p w14:paraId="0FD42EF8" w14:textId="364CC8F4" w:rsidR="00931AE4" w:rsidRPr="00365239" w:rsidRDefault="003E28C2" w:rsidP="0062368F">
            <w:pPr>
              <w:pStyle w:val="FITAnormal"/>
              <w:rPr>
                <w:rFonts w:ascii="Source Sans Pro" w:hAnsi="Source Sans Pro"/>
                <w:sz w:val="22"/>
                <w:szCs w:val="22"/>
              </w:rPr>
            </w:pPr>
            <w:r>
              <w:rPr>
                <w:rFonts w:ascii="Source Sans Pro" w:hAnsi="Source Sans Pro"/>
                <w:sz w:val="22"/>
                <w:szCs w:val="22"/>
              </w:rPr>
              <w:t>C&amp;</w:t>
            </w:r>
            <w:proofErr w:type="gramStart"/>
            <w:r>
              <w:rPr>
                <w:rFonts w:ascii="Source Sans Pro" w:hAnsi="Source Sans Pro"/>
                <w:sz w:val="22"/>
                <w:szCs w:val="22"/>
              </w:rPr>
              <w:t xml:space="preserve">R </w:t>
            </w:r>
            <w:r w:rsidR="007C121B">
              <w:rPr>
                <w:rFonts w:ascii="Source Sans Pro" w:hAnsi="Source Sans Pro"/>
                <w:sz w:val="22"/>
                <w:szCs w:val="22"/>
              </w:rPr>
              <w:t xml:space="preserve"> Committee</w:t>
            </w:r>
            <w:proofErr w:type="gramEnd"/>
          </w:p>
        </w:tc>
      </w:tr>
      <w:tr w:rsidR="00931AE4" w:rsidRPr="00547D16" w14:paraId="5D745E41" w14:textId="77777777" w:rsidTr="00547D16">
        <w:tc>
          <w:tcPr>
            <w:tcW w:w="1809" w:type="dxa"/>
          </w:tcPr>
          <w:p w14:paraId="471DCAE9" w14:textId="77777777" w:rsidR="00931AE4" w:rsidRPr="00547D16" w:rsidRDefault="00931AE4" w:rsidP="00365239">
            <w:pPr>
              <w:pStyle w:val="FITAnormal"/>
              <w:jc w:val="left"/>
              <w:rPr>
                <w:rFonts w:ascii="Source Sans Pro" w:hAnsi="Source Sans Pro"/>
              </w:rPr>
            </w:pPr>
          </w:p>
          <w:p w14:paraId="5CFE310C"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2. In Quality of:</w:t>
            </w:r>
          </w:p>
          <w:p w14:paraId="1EAC827C" w14:textId="297E8E74" w:rsidR="00931AE4" w:rsidRPr="00547D16" w:rsidRDefault="00931AE4" w:rsidP="00365239">
            <w:pPr>
              <w:pStyle w:val="FITAnormal"/>
              <w:jc w:val="left"/>
              <w:rPr>
                <w:rFonts w:ascii="Source Sans Pro" w:hAnsi="Source Sans Pro"/>
                <w:i/>
                <w:iCs/>
              </w:rPr>
            </w:pPr>
            <w:r w:rsidRPr="00547D16">
              <w:rPr>
                <w:rFonts w:ascii="Source Sans Pro" w:hAnsi="Source Sans Pro"/>
                <w:i/>
                <w:iCs/>
              </w:rPr>
              <w:t xml:space="preserve">Please </w:t>
            </w:r>
            <w:r w:rsidR="00547D16">
              <w:rPr>
                <w:rFonts w:ascii="Source Sans Pro" w:hAnsi="Source Sans Pro"/>
                <w:i/>
                <w:iCs/>
              </w:rPr>
              <w:t xml:space="preserve">mark one with </w:t>
            </w:r>
            <w:r w:rsidR="00365239">
              <w:rPr>
                <w:rFonts w:ascii="Source Sans Pro" w:hAnsi="Source Sans Pro"/>
                <w:i/>
                <w:iCs/>
              </w:rPr>
              <w:t>“</w:t>
            </w:r>
            <w:r w:rsidR="00547D16">
              <w:rPr>
                <w:rFonts w:ascii="Source Sans Pro" w:hAnsi="Source Sans Pro"/>
                <w:i/>
                <w:iCs/>
              </w:rPr>
              <w:t>X</w:t>
            </w:r>
            <w:r w:rsidR="00365239">
              <w:rPr>
                <w:rFonts w:ascii="Source Sans Pro" w:hAnsi="Source Sans Pro"/>
                <w:i/>
                <w:iCs/>
              </w:rPr>
              <w:t>”</w:t>
            </w:r>
          </w:p>
          <w:p w14:paraId="5B16A2D1" w14:textId="77777777" w:rsidR="00931AE4" w:rsidRPr="00547D16" w:rsidRDefault="00931AE4" w:rsidP="00365239">
            <w:pPr>
              <w:pStyle w:val="FITAnormal"/>
              <w:jc w:val="left"/>
              <w:rPr>
                <w:rFonts w:ascii="Source Sans Pro" w:hAnsi="Source Sans Pro"/>
              </w:rPr>
            </w:pPr>
          </w:p>
        </w:tc>
        <w:tc>
          <w:tcPr>
            <w:tcW w:w="7938" w:type="dxa"/>
          </w:tcPr>
          <w:p w14:paraId="0E71089E" w14:textId="77777777"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World Archery President</w:t>
            </w:r>
            <w:r w:rsidRPr="00547D16">
              <w:rPr>
                <w:rFonts w:ascii="Source Sans Pro" w:hAnsi="Source Sans Pro"/>
              </w:rPr>
              <w:tab/>
            </w:r>
            <w:r w:rsidRPr="00547D16">
              <w:rPr>
                <w:rFonts w:ascii="Arial" w:hAnsi="Arial" w:cs="Arial"/>
              </w:rPr>
              <w:t></w:t>
            </w:r>
          </w:p>
          <w:p w14:paraId="21643CF6" w14:textId="5139BAED" w:rsidR="00931AE4" w:rsidRPr="00547D16" w:rsidRDefault="006319B9" w:rsidP="0062368F">
            <w:pPr>
              <w:pStyle w:val="FITAnormal"/>
              <w:tabs>
                <w:tab w:val="left" w:pos="2552"/>
              </w:tabs>
              <w:rPr>
                <w:rFonts w:ascii="Source Sans Pro" w:hAnsi="Source Sans Pro"/>
              </w:rPr>
            </w:pPr>
            <w:r w:rsidRPr="00547D16">
              <w:rPr>
                <w:rFonts w:ascii="Source Sans Pro" w:hAnsi="Source Sans Pro"/>
              </w:rPr>
              <w:t>Executive Board</w:t>
            </w:r>
            <w:r w:rsidR="00931AE4" w:rsidRPr="00547D16">
              <w:rPr>
                <w:rFonts w:ascii="Source Sans Pro" w:hAnsi="Source Sans Pro"/>
              </w:rPr>
              <w:tab/>
            </w:r>
            <w:r w:rsidR="00547D16" w:rsidRPr="00547D16">
              <w:rPr>
                <w:rFonts w:ascii="Arial" w:hAnsi="Arial" w:cs="Arial"/>
              </w:rPr>
              <w:t></w:t>
            </w:r>
          </w:p>
          <w:p w14:paraId="1D837F9D" w14:textId="3EFB523A"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Permanent Committee</w:t>
            </w:r>
            <w:r w:rsidRPr="00547D16">
              <w:rPr>
                <w:rFonts w:ascii="Source Sans Pro" w:hAnsi="Source Sans Pro"/>
              </w:rPr>
              <w:tab/>
            </w:r>
            <w:r w:rsidR="007C121B">
              <w:rPr>
                <w:rFonts w:ascii="Arial" w:hAnsi="Arial" w:cs="Arial"/>
              </w:rPr>
              <w:t>X</w:t>
            </w:r>
          </w:p>
          <w:p w14:paraId="58C36022" w14:textId="1991729C"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Member Association</w:t>
            </w:r>
            <w:r w:rsidRPr="00547D16">
              <w:rPr>
                <w:rFonts w:ascii="Source Sans Pro" w:hAnsi="Source Sans Pro"/>
              </w:rPr>
              <w:tab/>
            </w:r>
            <w:r w:rsidR="00547D16" w:rsidRPr="00547D16">
              <w:rPr>
                <w:rFonts w:ascii="Arial" w:hAnsi="Arial" w:cs="Arial"/>
              </w:rPr>
              <w:t></w:t>
            </w:r>
          </w:p>
          <w:p w14:paraId="2AA029E7" w14:textId="7AC56625" w:rsidR="00931AE4" w:rsidRPr="00547D16" w:rsidRDefault="00931AE4" w:rsidP="00365239">
            <w:pPr>
              <w:pStyle w:val="FITAnormal"/>
              <w:tabs>
                <w:tab w:val="left" w:pos="2552"/>
              </w:tabs>
              <w:rPr>
                <w:rFonts w:ascii="Source Sans Pro" w:hAnsi="Source Sans Pro"/>
              </w:rPr>
            </w:pPr>
            <w:r w:rsidRPr="00547D16">
              <w:rPr>
                <w:rFonts w:ascii="Source Sans Pro" w:hAnsi="Source Sans Pro"/>
              </w:rPr>
              <w:t>Continental Association</w:t>
            </w:r>
            <w:r w:rsidRPr="00547D16">
              <w:rPr>
                <w:rFonts w:ascii="Source Sans Pro" w:hAnsi="Source Sans Pro"/>
              </w:rPr>
              <w:tab/>
            </w:r>
            <w:r w:rsidR="00547D16" w:rsidRPr="00547D16">
              <w:rPr>
                <w:rFonts w:ascii="Arial" w:hAnsi="Arial" w:cs="Arial"/>
              </w:rPr>
              <w:t></w:t>
            </w:r>
          </w:p>
        </w:tc>
      </w:tr>
      <w:tr w:rsidR="00931AE4" w:rsidRPr="00547D16" w14:paraId="3DF6BA6E" w14:textId="77777777" w:rsidTr="00547D16">
        <w:tc>
          <w:tcPr>
            <w:tcW w:w="1809" w:type="dxa"/>
          </w:tcPr>
          <w:p w14:paraId="5450CD90" w14:textId="77777777" w:rsidR="00931AE4" w:rsidRPr="00547D16" w:rsidRDefault="00931AE4" w:rsidP="00365239">
            <w:pPr>
              <w:pStyle w:val="FITAnormal"/>
              <w:jc w:val="left"/>
              <w:rPr>
                <w:rFonts w:ascii="Source Sans Pro" w:hAnsi="Source Sans Pro"/>
              </w:rPr>
            </w:pPr>
          </w:p>
          <w:p w14:paraId="3AEAE102" w14:textId="1D12F172" w:rsidR="00931AE4" w:rsidRPr="00547D16" w:rsidRDefault="00931AE4" w:rsidP="00365239">
            <w:pPr>
              <w:pStyle w:val="FITAnormal"/>
              <w:jc w:val="left"/>
              <w:rPr>
                <w:rFonts w:ascii="Source Sans Pro" w:hAnsi="Source Sans Pro"/>
              </w:rPr>
            </w:pPr>
            <w:r w:rsidRPr="00547D16">
              <w:rPr>
                <w:rFonts w:ascii="Source Sans Pro" w:hAnsi="Source Sans Pro"/>
              </w:rPr>
              <w:t xml:space="preserve">3. Date </w:t>
            </w:r>
            <w:r w:rsidR="00365239">
              <w:rPr>
                <w:rFonts w:ascii="Source Sans Pro" w:hAnsi="Source Sans Pro"/>
              </w:rPr>
              <w:t xml:space="preserve">of </w:t>
            </w:r>
            <w:r w:rsidR="00547D16" w:rsidRPr="00547D16">
              <w:rPr>
                <w:rFonts w:ascii="Source Sans Pro" w:hAnsi="Source Sans Pro"/>
              </w:rPr>
              <w:t>s</w:t>
            </w:r>
            <w:r w:rsidRPr="00547D16">
              <w:rPr>
                <w:rFonts w:ascii="Source Sans Pro" w:hAnsi="Source Sans Pro"/>
              </w:rPr>
              <w:t>ubmi</w:t>
            </w:r>
            <w:r w:rsidR="00365239">
              <w:rPr>
                <w:rFonts w:ascii="Source Sans Pro" w:hAnsi="Source Sans Pro"/>
              </w:rPr>
              <w:t>ssion</w:t>
            </w:r>
            <w:r w:rsidRPr="00547D16">
              <w:rPr>
                <w:rFonts w:ascii="Source Sans Pro" w:hAnsi="Source Sans Pro"/>
              </w:rPr>
              <w:t xml:space="preserve"> </w:t>
            </w:r>
          </w:p>
          <w:p w14:paraId="5FC6DF71" w14:textId="77777777" w:rsidR="00931AE4" w:rsidRPr="00547D16" w:rsidRDefault="00931AE4" w:rsidP="00365239">
            <w:pPr>
              <w:pStyle w:val="FITAnormal"/>
              <w:jc w:val="left"/>
              <w:rPr>
                <w:rFonts w:ascii="Source Sans Pro" w:hAnsi="Source Sans Pro"/>
              </w:rPr>
            </w:pPr>
          </w:p>
        </w:tc>
        <w:tc>
          <w:tcPr>
            <w:tcW w:w="7938" w:type="dxa"/>
          </w:tcPr>
          <w:p w14:paraId="6B76EA75" w14:textId="77777777" w:rsidR="00931AE4" w:rsidRPr="00365239" w:rsidRDefault="00931AE4" w:rsidP="0062368F">
            <w:pPr>
              <w:pStyle w:val="FITAnormal"/>
              <w:rPr>
                <w:rFonts w:ascii="Source Sans Pro" w:hAnsi="Source Sans Pro"/>
                <w:sz w:val="22"/>
                <w:szCs w:val="22"/>
              </w:rPr>
            </w:pPr>
          </w:p>
          <w:p w14:paraId="4C0D86BC" w14:textId="00477A92" w:rsidR="00931AE4" w:rsidRPr="00365239" w:rsidRDefault="007C121B" w:rsidP="0062368F">
            <w:pPr>
              <w:pStyle w:val="FITAnormal"/>
              <w:rPr>
                <w:rFonts w:ascii="Source Sans Pro" w:hAnsi="Source Sans Pro"/>
                <w:sz w:val="22"/>
                <w:szCs w:val="22"/>
              </w:rPr>
            </w:pPr>
            <w:r>
              <w:rPr>
                <w:rFonts w:ascii="Source Sans Pro" w:hAnsi="Source Sans Pro"/>
                <w:sz w:val="22"/>
                <w:szCs w:val="22"/>
              </w:rPr>
              <w:t>19/4/2021</w:t>
            </w:r>
          </w:p>
        </w:tc>
      </w:tr>
      <w:tr w:rsidR="00931AE4" w:rsidRPr="00547D16" w14:paraId="6D280D65" w14:textId="77777777" w:rsidTr="00547D16">
        <w:tc>
          <w:tcPr>
            <w:tcW w:w="1809" w:type="dxa"/>
          </w:tcPr>
          <w:p w14:paraId="3D5AE986" w14:textId="77777777" w:rsidR="00931AE4" w:rsidRPr="00547D16" w:rsidRDefault="00931AE4" w:rsidP="00365239">
            <w:pPr>
              <w:pStyle w:val="FITAnormal"/>
              <w:jc w:val="left"/>
              <w:rPr>
                <w:rFonts w:ascii="Source Sans Pro" w:hAnsi="Source Sans Pro"/>
              </w:rPr>
            </w:pPr>
          </w:p>
          <w:p w14:paraId="63BD922B" w14:textId="280D1B6F" w:rsidR="00931AE4" w:rsidRPr="00547D16" w:rsidRDefault="00547D16" w:rsidP="00365239">
            <w:pPr>
              <w:pStyle w:val="FITAnormal"/>
              <w:jc w:val="left"/>
              <w:rPr>
                <w:rFonts w:ascii="Source Sans Pro" w:hAnsi="Source Sans Pro"/>
              </w:rPr>
            </w:pPr>
            <w:r w:rsidRPr="00547D16">
              <w:rPr>
                <w:rFonts w:ascii="Source Sans Pro" w:hAnsi="Source Sans Pro"/>
              </w:rPr>
              <w:t>4</w:t>
            </w:r>
            <w:r w:rsidR="00931AE4" w:rsidRPr="00547D16">
              <w:rPr>
                <w:rFonts w:ascii="Source Sans Pro" w:hAnsi="Source Sans Pro"/>
              </w:rPr>
              <w:t xml:space="preserve">. Book, Chapter, </w:t>
            </w:r>
          </w:p>
          <w:p w14:paraId="7A9D6950"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 xml:space="preserve">    Article</w:t>
            </w:r>
          </w:p>
          <w:p w14:paraId="03DE1F46" w14:textId="77777777" w:rsidR="00931AE4" w:rsidRPr="00547D16" w:rsidRDefault="00931AE4" w:rsidP="00365239">
            <w:pPr>
              <w:pStyle w:val="FITAnormal"/>
              <w:jc w:val="left"/>
              <w:rPr>
                <w:rFonts w:ascii="Source Sans Pro" w:hAnsi="Source Sans Pro"/>
              </w:rPr>
            </w:pPr>
          </w:p>
        </w:tc>
        <w:tc>
          <w:tcPr>
            <w:tcW w:w="7938" w:type="dxa"/>
          </w:tcPr>
          <w:p w14:paraId="7B62619F" w14:textId="77777777" w:rsidR="00931AE4" w:rsidRPr="00365239" w:rsidRDefault="00931AE4" w:rsidP="0062368F">
            <w:pPr>
              <w:pStyle w:val="FITAnormal"/>
              <w:rPr>
                <w:rFonts w:ascii="Source Sans Pro" w:hAnsi="Source Sans Pro"/>
                <w:sz w:val="22"/>
                <w:szCs w:val="22"/>
              </w:rPr>
            </w:pPr>
          </w:p>
          <w:p w14:paraId="4CAEE8DC" w14:textId="18E8DACD" w:rsidR="00931AE4" w:rsidRPr="00365239" w:rsidRDefault="003E28C2" w:rsidP="0062368F">
            <w:pPr>
              <w:pStyle w:val="FITAnormal"/>
              <w:rPr>
                <w:rFonts w:ascii="Source Sans Pro" w:hAnsi="Source Sans Pro"/>
                <w:sz w:val="22"/>
                <w:szCs w:val="22"/>
              </w:rPr>
            </w:pPr>
            <w:r>
              <w:rPr>
                <w:rFonts w:ascii="Source Sans Pro" w:hAnsi="Source Sans Pro"/>
                <w:sz w:val="22"/>
                <w:szCs w:val="22"/>
              </w:rPr>
              <w:t>1.14 and 1.15</w:t>
            </w:r>
          </w:p>
        </w:tc>
      </w:tr>
      <w:tr w:rsidR="00547D16" w:rsidRPr="00547D16" w14:paraId="195A6A61" w14:textId="77777777" w:rsidTr="00547D16">
        <w:tc>
          <w:tcPr>
            <w:tcW w:w="1809" w:type="dxa"/>
          </w:tcPr>
          <w:p w14:paraId="0C64F518" w14:textId="77777777" w:rsidR="00547D16" w:rsidRPr="00547D16" w:rsidRDefault="00547D16" w:rsidP="00365239">
            <w:pPr>
              <w:pStyle w:val="FITAnormal"/>
              <w:jc w:val="left"/>
              <w:rPr>
                <w:rFonts w:ascii="Source Sans Pro" w:hAnsi="Source Sans Pro"/>
              </w:rPr>
            </w:pPr>
          </w:p>
          <w:p w14:paraId="6BA0DAFF" w14:textId="181CEAEF" w:rsidR="00547D16" w:rsidRPr="00547D16" w:rsidRDefault="00547D16" w:rsidP="00365239">
            <w:pPr>
              <w:pStyle w:val="FITAnormal"/>
              <w:jc w:val="left"/>
              <w:rPr>
                <w:rFonts w:ascii="Source Sans Pro" w:hAnsi="Source Sans Pro"/>
              </w:rPr>
            </w:pPr>
            <w:r w:rsidRPr="00547D16">
              <w:rPr>
                <w:rFonts w:ascii="Source Sans Pro" w:hAnsi="Source Sans Pro"/>
              </w:rPr>
              <w:t xml:space="preserve">5. Interpretations potentially affected </w:t>
            </w:r>
          </w:p>
          <w:p w14:paraId="46B00DB6" w14:textId="181B5537" w:rsidR="00547D16" w:rsidRPr="00547D16" w:rsidRDefault="00547D16" w:rsidP="00365239">
            <w:pPr>
              <w:pStyle w:val="FITAnormal"/>
              <w:jc w:val="left"/>
              <w:rPr>
                <w:rFonts w:ascii="Source Sans Pro" w:hAnsi="Source Sans Pro"/>
              </w:rPr>
            </w:pPr>
          </w:p>
        </w:tc>
        <w:tc>
          <w:tcPr>
            <w:tcW w:w="7938" w:type="dxa"/>
          </w:tcPr>
          <w:p w14:paraId="6B0AD356" w14:textId="06010711" w:rsidR="00547D16" w:rsidRPr="00365239" w:rsidRDefault="00547D16" w:rsidP="0062368F">
            <w:pPr>
              <w:pStyle w:val="FITAnormal"/>
              <w:rPr>
                <w:rFonts w:ascii="Source Sans Pro" w:hAnsi="Source Sans Pro"/>
                <w:sz w:val="22"/>
                <w:szCs w:val="22"/>
              </w:rPr>
            </w:pPr>
          </w:p>
        </w:tc>
      </w:tr>
      <w:tr w:rsidR="003E28C2" w:rsidRPr="00547D16" w14:paraId="625CABA6" w14:textId="77777777" w:rsidTr="00547D16">
        <w:tc>
          <w:tcPr>
            <w:tcW w:w="1809" w:type="dxa"/>
          </w:tcPr>
          <w:p w14:paraId="3496D4DA" w14:textId="77777777" w:rsidR="003E28C2" w:rsidRPr="00547D16" w:rsidRDefault="003E28C2" w:rsidP="003E28C2">
            <w:pPr>
              <w:pStyle w:val="FITAnormal"/>
              <w:jc w:val="left"/>
              <w:rPr>
                <w:rFonts w:ascii="Source Sans Pro" w:hAnsi="Source Sans Pro"/>
              </w:rPr>
            </w:pPr>
          </w:p>
          <w:p w14:paraId="19707E19" w14:textId="0F5B2BE7" w:rsidR="003E28C2" w:rsidRPr="00547D16" w:rsidRDefault="003E28C2" w:rsidP="003E28C2">
            <w:pPr>
              <w:pStyle w:val="FITAnormal"/>
              <w:jc w:val="left"/>
              <w:rPr>
                <w:rFonts w:ascii="Source Sans Pro" w:hAnsi="Source Sans Pro"/>
              </w:rPr>
            </w:pPr>
            <w:r w:rsidRPr="00547D16">
              <w:rPr>
                <w:rFonts w:ascii="Source Sans Pro" w:hAnsi="Source Sans Pro"/>
              </w:rPr>
              <w:t>6. Text of the motion (*)</w:t>
            </w:r>
          </w:p>
          <w:p w14:paraId="0BA242D4" w14:textId="77777777" w:rsidR="003E28C2" w:rsidRPr="00547D16" w:rsidRDefault="003E28C2" w:rsidP="003E28C2">
            <w:pPr>
              <w:pStyle w:val="FITAnormal"/>
              <w:jc w:val="left"/>
              <w:rPr>
                <w:rFonts w:ascii="Source Sans Pro" w:hAnsi="Source Sans Pro"/>
              </w:rPr>
            </w:pPr>
          </w:p>
          <w:p w14:paraId="6AEA65E7" w14:textId="77777777" w:rsidR="003E28C2" w:rsidRPr="00547D16" w:rsidRDefault="003E28C2" w:rsidP="003E28C2">
            <w:pPr>
              <w:pStyle w:val="FITAnormal"/>
              <w:jc w:val="left"/>
              <w:rPr>
                <w:rFonts w:ascii="Source Sans Pro" w:hAnsi="Source Sans Pro"/>
              </w:rPr>
            </w:pPr>
          </w:p>
          <w:p w14:paraId="3D54332C" w14:textId="77777777" w:rsidR="003E28C2" w:rsidRPr="00547D16" w:rsidRDefault="003E28C2" w:rsidP="003E28C2">
            <w:pPr>
              <w:pStyle w:val="FITAnormal"/>
              <w:jc w:val="left"/>
              <w:rPr>
                <w:rFonts w:ascii="Source Sans Pro" w:hAnsi="Source Sans Pro"/>
              </w:rPr>
            </w:pPr>
          </w:p>
          <w:p w14:paraId="623BFA52" w14:textId="77777777" w:rsidR="003E28C2" w:rsidRPr="00547D16" w:rsidRDefault="003E28C2" w:rsidP="003E28C2">
            <w:pPr>
              <w:pStyle w:val="FITAnormal"/>
              <w:jc w:val="left"/>
              <w:rPr>
                <w:rFonts w:ascii="Source Sans Pro" w:hAnsi="Source Sans Pro"/>
              </w:rPr>
            </w:pPr>
          </w:p>
          <w:p w14:paraId="31FF05BD" w14:textId="77777777" w:rsidR="003E28C2" w:rsidRPr="00547D16" w:rsidRDefault="003E28C2" w:rsidP="003E28C2">
            <w:pPr>
              <w:pStyle w:val="FITAnormal"/>
              <w:jc w:val="left"/>
              <w:rPr>
                <w:rFonts w:ascii="Source Sans Pro" w:hAnsi="Source Sans Pro"/>
              </w:rPr>
            </w:pPr>
          </w:p>
          <w:p w14:paraId="579D33C7" w14:textId="77777777" w:rsidR="003E28C2" w:rsidRPr="00547D16" w:rsidRDefault="003E28C2" w:rsidP="003E28C2">
            <w:pPr>
              <w:pStyle w:val="FITAnormal"/>
              <w:jc w:val="left"/>
              <w:rPr>
                <w:rFonts w:ascii="Source Sans Pro" w:hAnsi="Source Sans Pro"/>
              </w:rPr>
            </w:pPr>
          </w:p>
        </w:tc>
        <w:tc>
          <w:tcPr>
            <w:tcW w:w="7938" w:type="dxa"/>
          </w:tcPr>
          <w:p w14:paraId="0D728DDF" w14:textId="0A2B8D81" w:rsidR="003E28C2" w:rsidRDefault="003E28C2" w:rsidP="003E28C2">
            <w:pPr>
              <w:rPr>
                <w:sz w:val="25"/>
                <w:szCs w:val="25"/>
              </w:rPr>
            </w:pPr>
            <w:r>
              <w:rPr>
                <w:sz w:val="45"/>
                <w:szCs w:val="45"/>
              </w:rPr>
              <w:t>1.14The Board of Justice and Ethics</w:t>
            </w:r>
            <w:r>
              <w:rPr>
                <w:sz w:val="25"/>
                <w:szCs w:val="25"/>
              </w:rPr>
              <w:t>(See Appendix 1-Congress Procedures, Appendix 3-Procedure for the Board of Justice and Ethics.)1.14.1Congress shall appoint a Board of Justice and Ethics of five members to investigate alleged breaches of the WorldArchery Constitution and Rules, including its Code of Ethics and Conduct by any members of the World ArcheryFamily. However, the Board of Justice and Ethics does not consider Anti-Doping Rules violations which are under</w:t>
            </w:r>
            <w:r w:rsidR="000F4485">
              <w:rPr>
                <w:sz w:val="25"/>
                <w:szCs w:val="25"/>
              </w:rPr>
              <w:t xml:space="preserve"> </w:t>
            </w:r>
            <w:r>
              <w:rPr>
                <w:sz w:val="25"/>
                <w:szCs w:val="25"/>
              </w:rPr>
              <w:t>the responsibility of the Anti-Doping Panel</w:t>
            </w:r>
            <w:r w:rsidRPr="003E28C2">
              <w:rPr>
                <w:b/>
                <w:bCs/>
                <w:sz w:val="25"/>
                <w:szCs w:val="25"/>
                <w:u w:val="single"/>
              </w:rPr>
              <w:t xml:space="preserve"> </w:t>
            </w:r>
            <w:r w:rsidR="000F4485">
              <w:rPr>
                <w:b/>
                <w:bCs/>
                <w:sz w:val="25"/>
                <w:szCs w:val="25"/>
                <w:u w:val="single"/>
              </w:rPr>
              <w:t>T</w:t>
            </w:r>
            <w:r w:rsidRPr="003E28C2">
              <w:rPr>
                <w:b/>
                <w:bCs/>
                <w:sz w:val="25"/>
                <w:szCs w:val="25"/>
                <w:u w:val="single"/>
              </w:rPr>
              <w:t xml:space="preserve">he same procedure </w:t>
            </w:r>
            <w:r w:rsidR="000F4485">
              <w:rPr>
                <w:b/>
                <w:bCs/>
                <w:sz w:val="25"/>
                <w:szCs w:val="25"/>
                <w:u w:val="single"/>
              </w:rPr>
              <w:t xml:space="preserve">will apply </w:t>
            </w:r>
            <w:r w:rsidRPr="003E28C2">
              <w:rPr>
                <w:b/>
                <w:bCs/>
                <w:sz w:val="25"/>
                <w:szCs w:val="25"/>
                <w:u w:val="single"/>
              </w:rPr>
              <w:t>for cases of safeguarding when confidentiality reasons might need a different process as defined in the Procedures on the Safeguarding.</w:t>
            </w:r>
          </w:p>
          <w:p w14:paraId="7EB95396" w14:textId="77777777" w:rsidR="003E28C2" w:rsidRDefault="003E28C2" w:rsidP="003E28C2">
            <w:pPr>
              <w:rPr>
                <w:sz w:val="25"/>
                <w:szCs w:val="25"/>
              </w:rPr>
            </w:pPr>
          </w:p>
          <w:p w14:paraId="26C8AECF" w14:textId="77777777" w:rsidR="003E28C2" w:rsidRDefault="003E28C2" w:rsidP="003E28C2">
            <w:pPr>
              <w:rPr>
                <w:sz w:val="25"/>
                <w:szCs w:val="25"/>
              </w:rPr>
            </w:pPr>
            <w:r>
              <w:rPr>
                <w:sz w:val="25"/>
                <w:szCs w:val="25"/>
              </w:rPr>
              <w:t xml:space="preserve">1.14.4Cases can be submitted through the Secretary General or the </w:t>
            </w:r>
            <w:r w:rsidRPr="003E28C2">
              <w:rPr>
                <w:b/>
                <w:bCs/>
                <w:sz w:val="25"/>
                <w:szCs w:val="25"/>
                <w:u w:val="single"/>
              </w:rPr>
              <w:t>Saf</w:t>
            </w:r>
            <w:r>
              <w:rPr>
                <w:b/>
                <w:bCs/>
                <w:sz w:val="25"/>
                <w:szCs w:val="25"/>
                <w:u w:val="single"/>
              </w:rPr>
              <w:t>eg</w:t>
            </w:r>
            <w:r w:rsidRPr="003E28C2">
              <w:rPr>
                <w:b/>
                <w:bCs/>
                <w:sz w:val="25"/>
                <w:szCs w:val="25"/>
                <w:u w:val="single"/>
              </w:rPr>
              <w:t>uarding officers</w:t>
            </w:r>
            <w:r>
              <w:rPr>
                <w:sz w:val="25"/>
                <w:szCs w:val="25"/>
              </w:rPr>
              <w:t xml:space="preserve"> to the Board of Justice and Ethics by:</w:t>
            </w:r>
          </w:p>
          <w:p w14:paraId="7BE704DA" w14:textId="77777777" w:rsidR="003E28C2" w:rsidRDefault="003E28C2" w:rsidP="003E28C2">
            <w:pPr>
              <w:rPr>
                <w:sz w:val="25"/>
                <w:szCs w:val="25"/>
              </w:rPr>
            </w:pPr>
            <w:r>
              <w:rPr>
                <w:sz w:val="25"/>
                <w:szCs w:val="25"/>
              </w:rPr>
              <w:t xml:space="preserve">The President;The Executive Board;The Executive Committee;Member Associations;Continental Associations;Judges or Juries of Appeal, for cases arising in tournaments under their supervision </w:t>
            </w:r>
            <w:r w:rsidRPr="003E28C2">
              <w:rPr>
                <w:b/>
                <w:bCs/>
                <w:sz w:val="25"/>
                <w:szCs w:val="25"/>
                <w:u w:val="single"/>
              </w:rPr>
              <w:t>and by athletes or others for safeguarding cases through the process defined in the safeguarding procedures</w:t>
            </w:r>
            <w:r>
              <w:rPr>
                <w:sz w:val="25"/>
                <w:szCs w:val="25"/>
              </w:rPr>
              <w:t>.1.14.5The Board of Justice and Ethics shall ensure procedural fairness for all parties involved.</w:t>
            </w:r>
          </w:p>
          <w:p w14:paraId="68B20E3D" w14:textId="77777777" w:rsidR="003E28C2" w:rsidRDefault="003E28C2" w:rsidP="003E28C2">
            <w:pPr>
              <w:rPr>
                <w:sz w:val="45"/>
                <w:szCs w:val="45"/>
              </w:rPr>
            </w:pPr>
          </w:p>
          <w:p w14:paraId="11D91B7F" w14:textId="77777777" w:rsidR="003E28C2" w:rsidRDefault="003E28C2" w:rsidP="003E28C2">
            <w:pPr>
              <w:rPr>
                <w:sz w:val="25"/>
                <w:szCs w:val="25"/>
              </w:rPr>
            </w:pPr>
            <w:r>
              <w:rPr>
                <w:sz w:val="45"/>
                <w:szCs w:val="45"/>
              </w:rPr>
              <w:t>1.15Sanctions</w:t>
            </w:r>
            <w:r>
              <w:rPr>
                <w:sz w:val="25"/>
                <w:szCs w:val="25"/>
              </w:rPr>
              <w:t xml:space="preserve">(Except Anti-Doping Rules violations </w:t>
            </w:r>
            <w:r w:rsidRPr="003E28C2">
              <w:rPr>
                <w:b/>
                <w:bCs/>
                <w:sz w:val="25"/>
                <w:szCs w:val="25"/>
                <w:u w:val="single"/>
              </w:rPr>
              <w:t xml:space="preserve">and </w:t>
            </w:r>
            <w:r w:rsidRPr="003E28C2">
              <w:rPr>
                <w:b/>
                <w:bCs/>
                <w:sz w:val="25"/>
                <w:szCs w:val="25"/>
                <w:u w:val="single"/>
              </w:rPr>
              <w:lastRenderedPageBreak/>
              <w:t>safeguarding violations</w:t>
            </w:r>
            <w:r>
              <w:rPr>
                <w:sz w:val="25"/>
                <w:szCs w:val="25"/>
              </w:rPr>
              <w:t>.)</w:t>
            </w:r>
          </w:p>
          <w:p w14:paraId="510088BD" w14:textId="77777777" w:rsidR="003E28C2" w:rsidRDefault="003E28C2" w:rsidP="003E28C2">
            <w:pPr>
              <w:rPr>
                <w:sz w:val="25"/>
                <w:szCs w:val="25"/>
              </w:rPr>
            </w:pPr>
          </w:p>
          <w:p w14:paraId="1C8A9DF1" w14:textId="77777777" w:rsidR="003E28C2" w:rsidRDefault="003E28C2" w:rsidP="003E28C2">
            <w:pPr>
              <w:rPr>
                <w:sz w:val="25"/>
                <w:szCs w:val="25"/>
              </w:rPr>
            </w:pPr>
            <w:r>
              <w:rPr>
                <w:sz w:val="25"/>
                <w:szCs w:val="25"/>
              </w:rPr>
              <w:t>1.15.1The Board of Justice and Ethics shall submit a detailed report on each examined case that shall also propose:Dismissal of the case as irrelevant;Acquittal;Sanctions to be imposed.</w:t>
            </w:r>
          </w:p>
          <w:p w14:paraId="0CD9F3E1" w14:textId="77777777" w:rsidR="003E28C2" w:rsidRDefault="003E28C2" w:rsidP="003E28C2">
            <w:pPr>
              <w:rPr>
                <w:sz w:val="25"/>
                <w:szCs w:val="25"/>
              </w:rPr>
            </w:pPr>
          </w:p>
          <w:p w14:paraId="206DC39A" w14:textId="77777777" w:rsidR="003E28C2" w:rsidRDefault="003E28C2" w:rsidP="003E28C2">
            <w:pPr>
              <w:rPr>
                <w:sz w:val="25"/>
                <w:szCs w:val="25"/>
              </w:rPr>
            </w:pPr>
            <w:r>
              <w:rPr>
                <w:sz w:val="25"/>
                <w:szCs w:val="25"/>
              </w:rPr>
              <w:t>1.15.2Sanctions can be:Public reprimand;Withdrawal of record recognition;Withdrawal of awards and prizes;Temporary or partial suspension;Expulsion;Any combination of the above.</w:t>
            </w:r>
          </w:p>
          <w:p w14:paraId="2DF59BA6" w14:textId="77777777" w:rsidR="003E28C2" w:rsidRDefault="003E28C2" w:rsidP="003E28C2">
            <w:pPr>
              <w:rPr>
                <w:sz w:val="25"/>
                <w:szCs w:val="25"/>
              </w:rPr>
            </w:pPr>
          </w:p>
          <w:p w14:paraId="42610BB1" w14:textId="77777777" w:rsidR="003E28C2" w:rsidRDefault="003E28C2" w:rsidP="003E28C2">
            <w:pPr>
              <w:rPr>
                <w:sz w:val="25"/>
                <w:szCs w:val="25"/>
              </w:rPr>
            </w:pPr>
            <w:r>
              <w:rPr>
                <w:sz w:val="25"/>
                <w:szCs w:val="25"/>
              </w:rPr>
              <w:t>1.15.3An expelled Member of World Archery or one or more of its Members may re-apply as provided in the final decision or if not addressed in the final decision, then at the earlier of the next Congress or after two years have elapsed.Notwithstanding the prior sentence, the Executive Committee may permit an expelled Member to be considered for membership at an earlier date in extraordinary or compelling circumstances.</w:t>
            </w:r>
          </w:p>
          <w:p w14:paraId="200A5DB8" w14:textId="77777777" w:rsidR="003E28C2" w:rsidRDefault="003E28C2" w:rsidP="003E28C2">
            <w:pPr>
              <w:rPr>
                <w:sz w:val="25"/>
                <w:szCs w:val="25"/>
              </w:rPr>
            </w:pPr>
          </w:p>
          <w:p w14:paraId="48BA1C35" w14:textId="77777777" w:rsidR="003E28C2" w:rsidRDefault="003E28C2" w:rsidP="003E28C2">
            <w:pPr>
              <w:rPr>
                <w:sz w:val="25"/>
                <w:szCs w:val="25"/>
              </w:rPr>
            </w:pPr>
            <w:r>
              <w:rPr>
                <w:sz w:val="25"/>
                <w:szCs w:val="25"/>
              </w:rPr>
              <w:t>1.15.4Applications submitted according to Article 1.15.3. shall be dealt with by the Executive Board, which shall circulate it with a recommendation to all Member Associations and submit the application for decision by Congress.</w:t>
            </w:r>
          </w:p>
          <w:p w14:paraId="26D8F838" w14:textId="77777777" w:rsidR="003E28C2" w:rsidRDefault="003E28C2" w:rsidP="003E28C2">
            <w:pPr>
              <w:rPr>
                <w:sz w:val="25"/>
                <w:szCs w:val="25"/>
              </w:rPr>
            </w:pPr>
          </w:p>
          <w:p w14:paraId="6CB74373" w14:textId="77777777" w:rsidR="003E28C2" w:rsidRDefault="003E28C2" w:rsidP="003E28C2">
            <w:pPr>
              <w:rPr>
                <w:sz w:val="25"/>
                <w:szCs w:val="25"/>
              </w:rPr>
            </w:pPr>
            <w:r>
              <w:rPr>
                <w:sz w:val="25"/>
                <w:szCs w:val="25"/>
              </w:rPr>
              <w:t>1.15.5The costs of the investigation of a case may be charged to the party found guilty.</w:t>
            </w:r>
          </w:p>
          <w:p w14:paraId="4DA37B14" w14:textId="77777777" w:rsidR="003E28C2" w:rsidRDefault="003E28C2" w:rsidP="003E28C2">
            <w:pPr>
              <w:rPr>
                <w:sz w:val="25"/>
                <w:szCs w:val="25"/>
              </w:rPr>
            </w:pPr>
          </w:p>
          <w:p w14:paraId="13B5821D" w14:textId="127899AE" w:rsidR="003E28C2" w:rsidRDefault="003E28C2" w:rsidP="003E28C2">
            <w:pPr>
              <w:rPr>
                <w:sz w:val="25"/>
                <w:szCs w:val="25"/>
              </w:rPr>
            </w:pPr>
            <w:r>
              <w:rPr>
                <w:sz w:val="25"/>
                <w:szCs w:val="25"/>
              </w:rPr>
              <w:t xml:space="preserve">1.15.6Decisions on the Board of Justice and Ethics recommendations shall be taken by the Executive Board </w:t>
            </w:r>
            <w:r w:rsidRPr="003E28C2">
              <w:rPr>
                <w:b/>
                <w:bCs/>
                <w:sz w:val="25"/>
                <w:szCs w:val="25"/>
              </w:rPr>
              <w:t xml:space="preserve">except for safeguarding violations as decribed in the </w:t>
            </w:r>
            <w:r w:rsidR="000F4485">
              <w:rPr>
                <w:b/>
                <w:bCs/>
                <w:sz w:val="25"/>
                <w:szCs w:val="25"/>
              </w:rPr>
              <w:t xml:space="preserve">safeguarding </w:t>
            </w:r>
            <w:r w:rsidRPr="003E28C2">
              <w:rPr>
                <w:b/>
                <w:bCs/>
                <w:sz w:val="25"/>
                <w:szCs w:val="25"/>
              </w:rPr>
              <w:t>procedures</w:t>
            </w:r>
            <w:r>
              <w:rPr>
                <w:sz w:val="25"/>
                <w:szCs w:val="25"/>
              </w:rPr>
              <w:t>. In cases brought against elected officers for alleged misuse of office, or if the expulsion of a Member of World Archery isrecommended, the recommendation shall be circulated to all Member Associations and submitted for decision byCongress. For cases where Congress decision is requested, the Executive Board can impose a provisional suspensionprior to the matter's being considered by Congress.</w:t>
            </w:r>
          </w:p>
          <w:p w14:paraId="354D4FD4" w14:textId="77777777" w:rsidR="003E28C2" w:rsidRDefault="003E28C2" w:rsidP="003E28C2">
            <w:pPr>
              <w:rPr>
                <w:sz w:val="25"/>
                <w:szCs w:val="25"/>
              </w:rPr>
            </w:pPr>
          </w:p>
          <w:p w14:paraId="71FC41D1" w14:textId="77777777" w:rsidR="003E28C2" w:rsidRDefault="003E28C2" w:rsidP="003E28C2">
            <w:pPr>
              <w:rPr>
                <w:sz w:val="25"/>
                <w:szCs w:val="25"/>
              </w:rPr>
            </w:pPr>
            <w:r>
              <w:rPr>
                <w:sz w:val="25"/>
                <w:szCs w:val="25"/>
              </w:rPr>
              <w:t>1.15.7Executive Board, or Congress decisions, as the case may be, are final but subject to 1.31. Court of Arbitration forSport.</w:t>
            </w:r>
          </w:p>
          <w:p w14:paraId="7575EBE7" w14:textId="77777777" w:rsidR="003E28C2" w:rsidRDefault="003E28C2" w:rsidP="003E28C2">
            <w:pPr>
              <w:rPr>
                <w:sz w:val="25"/>
                <w:szCs w:val="25"/>
              </w:rPr>
            </w:pPr>
          </w:p>
          <w:p w14:paraId="47E7FC39" w14:textId="77777777" w:rsidR="003E28C2" w:rsidRDefault="003E28C2" w:rsidP="003E28C2">
            <w:pPr>
              <w:rPr>
                <w:lang w:val="en-CH" w:eastAsia="en-CH"/>
              </w:rPr>
            </w:pPr>
            <w:r>
              <w:rPr>
                <w:sz w:val="25"/>
                <w:szCs w:val="25"/>
              </w:rPr>
              <w:t>1.15.8All sanctions shall be communicated to the parties concerned, to all Members and to all World Archery Judges within10 days from the date of a decision</w:t>
            </w:r>
          </w:p>
          <w:p w14:paraId="29C3E190" w14:textId="77777777" w:rsidR="003E28C2" w:rsidRPr="003E28C2" w:rsidRDefault="003E28C2" w:rsidP="003E28C2">
            <w:pPr>
              <w:pStyle w:val="FITAnormal"/>
              <w:rPr>
                <w:rFonts w:ascii="Source Sans Pro" w:hAnsi="Source Sans Pro"/>
                <w:sz w:val="22"/>
                <w:szCs w:val="22"/>
                <w:lang w:val="en-CH"/>
              </w:rPr>
            </w:pPr>
          </w:p>
          <w:p w14:paraId="5AB11665" w14:textId="77777777" w:rsidR="003E28C2" w:rsidRPr="00365239" w:rsidRDefault="003E28C2" w:rsidP="003E28C2">
            <w:pPr>
              <w:pStyle w:val="FITAnormal"/>
              <w:rPr>
                <w:rFonts w:ascii="Source Sans Pro" w:hAnsi="Source Sans Pro"/>
                <w:sz w:val="22"/>
                <w:szCs w:val="22"/>
              </w:rPr>
            </w:pPr>
          </w:p>
          <w:p w14:paraId="3EF89AEF" w14:textId="77777777" w:rsidR="003E28C2" w:rsidRPr="00547D16" w:rsidRDefault="003E28C2" w:rsidP="003E28C2">
            <w:pPr>
              <w:pStyle w:val="FITAnormal"/>
              <w:rPr>
                <w:rFonts w:ascii="Source Sans Pro" w:hAnsi="Source Sans Pro"/>
              </w:rPr>
            </w:pPr>
          </w:p>
        </w:tc>
      </w:tr>
      <w:tr w:rsidR="003E28C2" w:rsidRPr="00547D16" w14:paraId="4AE182C4" w14:textId="77777777" w:rsidTr="00547D16">
        <w:tc>
          <w:tcPr>
            <w:tcW w:w="1809" w:type="dxa"/>
          </w:tcPr>
          <w:p w14:paraId="1831DD91" w14:textId="77777777" w:rsidR="003E28C2" w:rsidRPr="00547D16" w:rsidRDefault="003E28C2" w:rsidP="003E28C2">
            <w:pPr>
              <w:pStyle w:val="FITAnormal"/>
              <w:rPr>
                <w:rFonts w:ascii="Source Sans Pro" w:hAnsi="Source Sans Pro"/>
              </w:rPr>
            </w:pPr>
          </w:p>
          <w:p w14:paraId="4C0DCA7C" w14:textId="754411BD" w:rsidR="003E28C2" w:rsidRPr="00547D16" w:rsidRDefault="003E28C2" w:rsidP="003E28C2">
            <w:pPr>
              <w:pStyle w:val="FITAnormal"/>
              <w:rPr>
                <w:rFonts w:ascii="Source Sans Pro" w:hAnsi="Source Sans Pro"/>
              </w:rPr>
            </w:pPr>
            <w:r w:rsidRPr="00547D16">
              <w:rPr>
                <w:rFonts w:ascii="Source Sans Pro" w:hAnsi="Source Sans Pro"/>
              </w:rPr>
              <w:t>7. Reason</w:t>
            </w:r>
          </w:p>
          <w:p w14:paraId="25961BAD" w14:textId="77777777" w:rsidR="003E28C2" w:rsidRPr="00547D16" w:rsidRDefault="003E28C2" w:rsidP="003E28C2">
            <w:pPr>
              <w:pStyle w:val="FITAnormal"/>
              <w:rPr>
                <w:rFonts w:ascii="Source Sans Pro" w:hAnsi="Source Sans Pro"/>
              </w:rPr>
            </w:pPr>
          </w:p>
          <w:p w14:paraId="0AB093BE" w14:textId="77777777" w:rsidR="003E28C2" w:rsidRPr="00547D16" w:rsidRDefault="003E28C2" w:rsidP="003E28C2">
            <w:pPr>
              <w:pStyle w:val="FITAnormal"/>
              <w:rPr>
                <w:rFonts w:ascii="Source Sans Pro" w:hAnsi="Source Sans Pro"/>
              </w:rPr>
            </w:pPr>
          </w:p>
        </w:tc>
        <w:tc>
          <w:tcPr>
            <w:tcW w:w="7938" w:type="dxa"/>
          </w:tcPr>
          <w:p w14:paraId="332095F9" w14:textId="77777777" w:rsidR="003E28C2" w:rsidRPr="00547D16" w:rsidRDefault="003E28C2" w:rsidP="003E28C2">
            <w:pPr>
              <w:pStyle w:val="FITAnormal"/>
              <w:rPr>
                <w:rFonts w:ascii="Source Sans Pro" w:hAnsi="Source Sans Pro"/>
              </w:rPr>
            </w:pPr>
          </w:p>
          <w:p w14:paraId="205B8749" w14:textId="511F1A99" w:rsidR="003E28C2" w:rsidRPr="00547D16" w:rsidRDefault="003E28C2" w:rsidP="003E28C2">
            <w:pPr>
              <w:pStyle w:val="FITAnormal"/>
              <w:rPr>
                <w:rFonts w:ascii="Source Sans Pro" w:hAnsi="Source Sans Pro"/>
              </w:rPr>
            </w:pPr>
            <w:r>
              <w:rPr>
                <w:rFonts w:ascii="Source Sans Pro" w:hAnsi="Source Sans Pro"/>
              </w:rPr>
              <w:t xml:space="preserve">Introduce a separate section on Safeguarding in the Ethics Code and the procedures of the board of Justice to protect the victims of </w:t>
            </w:r>
            <w:r w:rsidR="000F4485">
              <w:rPr>
                <w:rFonts w:ascii="Source Sans Pro" w:hAnsi="Source Sans Pro"/>
              </w:rPr>
              <w:t>harassment.</w:t>
            </w:r>
          </w:p>
          <w:p w14:paraId="042642E8" w14:textId="147B7A05" w:rsidR="003E28C2" w:rsidRPr="00547D16" w:rsidRDefault="003E28C2" w:rsidP="003E28C2">
            <w:pPr>
              <w:pStyle w:val="FITAnormal"/>
              <w:rPr>
                <w:rFonts w:ascii="Source Sans Pro" w:hAnsi="Source Sans Pro"/>
              </w:rPr>
            </w:pPr>
          </w:p>
        </w:tc>
      </w:tr>
    </w:tbl>
    <w:p w14:paraId="486273CB" w14:textId="77777777" w:rsidR="00931AE4" w:rsidRPr="00547D16" w:rsidRDefault="00931AE4" w:rsidP="00931AE4">
      <w:pPr>
        <w:pStyle w:val="FITAnormal"/>
        <w:rPr>
          <w:rFonts w:ascii="Source Sans Pro" w:hAnsi="Source Sans Pro"/>
        </w:rPr>
      </w:pPr>
    </w:p>
    <w:p w14:paraId="3505226B" w14:textId="1DA82B05" w:rsidR="00917361" w:rsidRPr="00365239" w:rsidRDefault="00931AE4" w:rsidP="00365239">
      <w:pPr>
        <w:pStyle w:val="FITAnormal"/>
        <w:rPr>
          <w:rFonts w:ascii="Source Sans Pro" w:hAnsi="Source Sans Pro"/>
          <w:sz w:val="22"/>
          <w:szCs w:val="22"/>
        </w:rPr>
      </w:pPr>
      <w:r w:rsidRPr="00365239">
        <w:rPr>
          <w:rFonts w:ascii="Source Sans Pro" w:hAnsi="Source Sans Pro"/>
          <w:sz w:val="22"/>
          <w:szCs w:val="22"/>
        </w:rPr>
        <w:t xml:space="preserve"> (*) Please state the wording to be used </w:t>
      </w:r>
      <w:r w:rsidRPr="00365239">
        <w:rPr>
          <w:rFonts w:ascii="Source Sans Pro" w:hAnsi="Source Sans Pro"/>
          <w:b/>
          <w:sz w:val="22"/>
          <w:szCs w:val="22"/>
        </w:rPr>
        <w:t>precisely</w:t>
      </w:r>
      <w:r w:rsidRPr="00365239">
        <w:rPr>
          <w:rFonts w:ascii="Source Sans Pro" w:hAnsi="Source Sans Pro"/>
          <w:sz w:val="22"/>
          <w:szCs w:val="22"/>
        </w:rPr>
        <w:t xml:space="preserve"> with the new requested version/addition/amendment </w:t>
      </w:r>
      <w:r w:rsidRPr="00365239">
        <w:rPr>
          <w:rFonts w:ascii="Source Sans Pro" w:hAnsi="Source Sans Pro"/>
          <w:b/>
          <w:bCs/>
          <w:sz w:val="22"/>
          <w:szCs w:val="22"/>
        </w:rPr>
        <w:t>in full words</w:t>
      </w:r>
      <w:r w:rsidRPr="00365239">
        <w:rPr>
          <w:rFonts w:ascii="Source Sans Pro" w:hAnsi="Source Sans Pro"/>
          <w:sz w:val="22"/>
          <w:szCs w:val="22"/>
        </w:rPr>
        <w:t>.</w:t>
      </w:r>
    </w:p>
    <w:sectPr w:rsidR="00917361" w:rsidRPr="00365239" w:rsidSect="00365239">
      <w:headerReference w:type="default" r:id="rId9"/>
      <w:footerReference w:type="default" r:id="rId10"/>
      <w:pgSz w:w="11907" w:h="16863"/>
      <w:pgMar w:top="156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F508" w14:textId="77777777" w:rsidR="00EF3A44" w:rsidRDefault="00EF3A44" w:rsidP="00CC788C">
      <w:r>
        <w:separator/>
      </w:r>
    </w:p>
  </w:endnote>
  <w:endnote w:type="continuationSeparator" w:id="0">
    <w:p w14:paraId="035E6F62" w14:textId="77777777" w:rsidR="00EF3A44" w:rsidRDefault="00EF3A44"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D64" w14:textId="1F71DDD4" w:rsidR="00CC788C" w:rsidRPr="00CC788C" w:rsidRDefault="00CC788C" w:rsidP="00CC788C">
    <w:pPr>
      <w:tabs>
        <w:tab w:val="center" w:pos="4678"/>
      </w:tabs>
      <w:ind w:left="-1417"/>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F51C" w14:textId="77777777" w:rsidR="00EF3A44" w:rsidRDefault="00EF3A44" w:rsidP="00CC788C">
      <w:bookmarkStart w:id="0" w:name="_Hlk67071327"/>
      <w:bookmarkEnd w:id="0"/>
      <w:r>
        <w:separator/>
      </w:r>
    </w:p>
  </w:footnote>
  <w:footnote w:type="continuationSeparator" w:id="0">
    <w:p w14:paraId="0ABE91F1" w14:textId="77777777" w:rsidR="00EF3A44" w:rsidRDefault="00EF3A44"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D7C4" w14:textId="6E55971F" w:rsidR="00547D16" w:rsidRDefault="00547D16" w:rsidP="00547D16">
    <w:pPr>
      <w:pStyle w:val="Header"/>
      <w:jc w:val="right"/>
    </w:pPr>
    <w:r>
      <w:rPr>
        <w:noProof/>
      </w:rPr>
      <w:drawing>
        <wp:anchor distT="0" distB="0" distL="114300" distR="114300" simplePos="0" relativeHeight="251663872" behindDoc="1" locked="0" layoutInCell="1" allowOverlap="1" wp14:anchorId="6493766C" wp14:editId="4A8F916C">
          <wp:simplePos x="0" y="0"/>
          <wp:positionH relativeFrom="column">
            <wp:posOffset>4490085</wp:posOffset>
          </wp:positionH>
          <wp:positionV relativeFrom="paragraph">
            <wp:posOffset>6985</wp:posOffset>
          </wp:positionV>
          <wp:extent cx="1445156" cy="224624"/>
          <wp:effectExtent l="0" t="0" r="3175" b="4445"/>
          <wp:wrapTight wrapText="bothSides">
            <wp:wrapPolygon edited="0">
              <wp:start x="0" y="0"/>
              <wp:lineTo x="0" y="20193"/>
              <wp:lineTo x="21363" y="20193"/>
              <wp:lineTo x="21363"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445156" cy="224624"/>
                  </a:xfrm>
                  <a:prstGeom prst="rect">
                    <a:avLst/>
                  </a:prstGeom>
                </pic:spPr>
              </pic:pic>
            </a:graphicData>
          </a:graphic>
        </wp:anchor>
      </w:drawing>
    </w:r>
  </w:p>
  <w:p w14:paraId="4D178BDC" w14:textId="2A8CE3F9" w:rsidR="00CC788C" w:rsidRDefault="00547D16" w:rsidP="00547D16">
    <w:pPr>
      <w:tabs>
        <w:tab w:val="left" w:pos="9072"/>
        <w:tab w:val="right" w:pos="9214"/>
      </w:tabs>
    </w:pPr>
    <w:r>
      <w:rPr>
        <w:noProof/>
      </w:rPr>
      <mc:AlternateContent>
        <mc:Choice Requires="wps">
          <w:drawing>
            <wp:anchor distT="0" distB="0" distL="114300" distR="114300" simplePos="0" relativeHeight="251656704" behindDoc="0" locked="0" layoutInCell="1" allowOverlap="1" wp14:anchorId="00155146" wp14:editId="79E614A0">
              <wp:simplePos x="0" y="0"/>
              <wp:positionH relativeFrom="column">
                <wp:posOffset>4476750</wp:posOffset>
              </wp:positionH>
              <wp:positionV relativeFrom="paragraph">
                <wp:posOffset>124460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86C34"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8pt" to="5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" strokecolor="#004b9b" strokeweight="1pt">
              <v:shadow on="t" color="black" opacity="22937f" origin=",.5" offset="0,.63889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E4"/>
    <w:rsid w:val="000055F0"/>
    <w:rsid w:val="00044D30"/>
    <w:rsid w:val="0005243D"/>
    <w:rsid w:val="0009025B"/>
    <w:rsid w:val="00093306"/>
    <w:rsid w:val="000A70A4"/>
    <w:rsid w:val="000E5427"/>
    <w:rsid w:val="000F4485"/>
    <w:rsid w:val="000F5159"/>
    <w:rsid w:val="001175CC"/>
    <w:rsid w:val="00124EAF"/>
    <w:rsid w:val="00127E8C"/>
    <w:rsid w:val="00142587"/>
    <w:rsid w:val="00156E7B"/>
    <w:rsid w:val="00174888"/>
    <w:rsid w:val="00185E65"/>
    <w:rsid w:val="0026250E"/>
    <w:rsid w:val="002B2971"/>
    <w:rsid w:val="003418A5"/>
    <w:rsid w:val="00365239"/>
    <w:rsid w:val="00380072"/>
    <w:rsid w:val="003A3334"/>
    <w:rsid w:val="003E28C2"/>
    <w:rsid w:val="003E774C"/>
    <w:rsid w:val="00404890"/>
    <w:rsid w:val="00450EE8"/>
    <w:rsid w:val="00470F9F"/>
    <w:rsid w:val="004811E5"/>
    <w:rsid w:val="004A4B74"/>
    <w:rsid w:val="004C6030"/>
    <w:rsid w:val="004E6D96"/>
    <w:rsid w:val="00501FB6"/>
    <w:rsid w:val="00547D16"/>
    <w:rsid w:val="005503E8"/>
    <w:rsid w:val="005552FE"/>
    <w:rsid w:val="00587929"/>
    <w:rsid w:val="005F42E9"/>
    <w:rsid w:val="005F5C2E"/>
    <w:rsid w:val="00613BF0"/>
    <w:rsid w:val="006319B9"/>
    <w:rsid w:val="006616BA"/>
    <w:rsid w:val="00667160"/>
    <w:rsid w:val="00683A98"/>
    <w:rsid w:val="006C06F5"/>
    <w:rsid w:val="006D6D0D"/>
    <w:rsid w:val="006F50AC"/>
    <w:rsid w:val="007C121B"/>
    <w:rsid w:val="007F0DF6"/>
    <w:rsid w:val="007F4CCA"/>
    <w:rsid w:val="007F5CD1"/>
    <w:rsid w:val="00891D5C"/>
    <w:rsid w:val="008A6135"/>
    <w:rsid w:val="008C5066"/>
    <w:rsid w:val="00900FCC"/>
    <w:rsid w:val="00904E82"/>
    <w:rsid w:val="00917361"/>
    <w:rsid w:val="00927F6A"/>
    <w:rsid w:val="00931AE4"/>
    <w:rsid w:val="009A7361"/>
    <w:rsid w:val="00A541E8"/>
    <w:rsid w:val="00A628E4"/>
    <w:rsid w:val="00A64327"/>
    <w:rsid w:val="00AC6D1A"/>
    <w:rsid w:val="00B7357B"/>
    <w:rsid w:val="00C56765"/>
    <w:rsid w:val="00C90B7D"/>
    <w:rsid w:val="00CA45EA"/>
    <w:rsid w:val="00CA6D85"/>
    <w:rsid w:val="00CC567E"/>
    <w:rsid w:val="00CC788C"/>
    <w:rsid w:val="00D052B4"/>
    <w:rsid w:val="00D346F6"/>
    <w:rsid w:val="00D53C3B"/>
    <w:rsid w:val="00D82E69"/>
    <w:rsid w:val="00D84B46"/>
    <w:rsid w:val="00DD6A23"/>
    <w:rsid w:val="00E4799E"/>
    <w:rsid w:val="00E64DBC"/>
    <w:rsid w:val="00E927E5"/>
    <w:rsid w:val="00E92A70"/>
    <w:rsid w:val="00EB004E"/>
    <w:rsid w:val="00ED0645"/>
    <w:rsid w:val="00EF3A44"/>
    <w:rsid w:val="00F25C39"/>
    <w:rsid w:val="00F27590"/>
    <w:rsid w:val="00F423FC"/>
    <w:rsid w:val="00F52709"/>
    <w:rsid w:val="00F561C9"/>
    <w:rsid w:val="00F81A45"/>
    <w:rsid w:val="00FC186A"/>
    <w:rsid w:val="00FC3780"/>
    <w:rsid w:val="00FE214B"/>
    <w:rsid w:val="00FF4A81"/>
    <w:rsid w:val="00FF52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6B96"/>
  <w15:docId w15:val="{DF3E2A9B-52F9-4E6B-B8BD-F508214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1AE4"/>
    <w:rPr>
      <w:sz w:val="24"/>
      <w:szCs w:val="24"/>
      <w:lang w:val="tr-TR" w:eastAsia="tr-TR"/>
    </w:rPr>
  </w:style>
  <w:style w:type="paragraph" w:styleId="Heading1">
    <w:name w:val="heading 1"/>
    <w:basedOn w:val="Normal"/>
    <w:next w:val="Normal"/>
    <w:qFormat/>
    <w:rsid w:val="0005243D"/>
    <w:pPr>
      <w:keepNext/>
      <w:spacing w:before="240" w:after="60"/>
      <w:outlineLvl w:val="0"/>
    </w:pPr>
    <w:rPr>
      <w:rFonts w:ascii="Arial" w:hAnsi="Arial" w:cs="Arial"/>
      <w:b/>
      <w:bCs/>
      <w:kern w:val="32"/>
      <w:sz w:val="32"/>
      <w:szCs w:val="32"/>
      <w:lang w:val="en-US" w:eastAsia="en-US" w:bidi="th-TH"/>
    </w:rPr>
  </w:style>
  <w:style w:type="paragraph" w:styleId="Heading2">
    <w:name w:val="heading 2"/>
    <w:basedOn w:val="Normal"/>
    <w:next w:val="Normal"/>
    <w:qFormat/>
    <w:rsid w:val="00156E7B"/>
    <w:pPr>
      <w:keepNext/>
      <w:spacing w:before="240" w:after="60"/>
      <w:outlineLvl w:val="1"/>
    </w:pPr>
    <w:rPr>
      <w:rFonts w:ascii="Arial" w:hAnsi="Arial" w:cs="Arial"/>
      <w:b/>
      <w:bCs/>
      <w:i/>
      <w:iCs/>
      <w:sz w:val="28"/>
      <w:szCs w:val="28"/>
      <w:lang w:val="en-US" w:eastAsia="en-US" w:bidi="th-TH"/>
    </w:rPr>
  </w:style>
  <w:style w:type="paragraph" w:styleId="Heading3">
    <w:name w:val="heading 3"/>
    <w:basedOn w:val="Normal"/>
    <w:next w:val="Normal"/>
    <w:qFormat/>
    <w:rsid w:val="00156E7B"/>
    <w:pPr>
      <w:keepNext/>
      <w:spacing w:before="240" w:after="60"/>
      <w:outlineLvl w:val="2"/>
    </w:pPr>
    <w:rPr>
      <w:rFonts w:ascii="Arial" w:hAnsi="Arial" w:cs="Arial"/>
      <w:b/>
      <w:bCs/>
      <w:sz w:val="26"/>
      <w:szCs w:val="26"/>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rsid w:val="00E92A70"/>
    <w:rPr>
      <w:rFonts w:ascii="Verdana" w:hAnsi="Verdana"/>
      <w:b/>
      <w:bCs/>
      <w:color w:val="0168AC"/>
      <w:sz w:val="27"/>
    </w:rPr>
  </w:style>
  <w:style w:type="character" w:customStyle="1" w:styleId="FITA3">
    <w:name w:val="FITA 3"/>
    <w:rsid w:val="00156E7B"/>
    <w:rPr>
      <w:rFonts w:ascii="Verdana" w:hAnsi="Verdana"/>
      <w:b/>
      <w:bCs/>
      <w:color w:val="5899C4"/>
      <w:sz w:val="20"/>
    </w:rPr>
  </w:style>
  <w:style w:type="paragraph" w:customStyle="1" w:styleId="FITA4">
    <w:name w:val="FITA 4"/>
    <w:basedOn w:val="Normal"/>
    <w:rsid w:val="00E92A70"/>
    <w:pPr>
      <w:jc w:val="both"/>
    </w:pPr>
    <w:rPr>
      <w:rFonts w:ascii="Verdana" w:hAnsi="Verdana" w:cs="Angsana New"/>
      <w:color w:val="999999"/>
      <w:sz w:val="15"/>
      <w:szCs w:val="20"/>
      <w:lang w:val="en-US" w:eastAsia="en-US" w:bidi="th-TH"/>
    </w:rPr>
  </w:style>
  <w:style w:type="paragraph" w:customStyle="1" w:styleId="FITAnormalbold">
    <w:name w:val="FITA normal bold"/>
    <w:basedOn w:val="Normal"/>
    <w:rsid w:val="00185E65"/>
    <w:pPr>
      <w:jc w:val="both"/>
    </w:pPr>
    <w:rPr>
      <w:rFonts w:ascii="Verdana" w:hAnsi="Verdana" w:cs="Angsana New"/>
      <w:b/>
      <w:bCs/>
      <w:color w:val="333333"/>
      <w:sz w:val="20"/>
      <w:szCs w:val="20"/>
      <w:lang w:val="en-US" w:eastAsia="en-US" w:bidi="th-TH"/>
    </w:rPr>
  </w:style>
  <w:style w:type="paragraph" w:customStyle="1" w:styleId="FITAnormal">
    <w:name w:val="FITA normal"/>
    <w:basedOn w:val="Normal"/>
    <w:link w:val="FITAnormalChar"/>
    <w:rsid w:val="00185E65"/>
    <w:pPr>
      <w:jc w:val="both"/>
    </w:pPr>
    <w:rPr>
      <w:rFonts w:ascii="Verdana" w:hAnsi="Verdana" w:cs="Angsana New"/>
      <w:color w:val="333333"/>
      <w:sz w:val="20"/>
      <w:szCs w:val="20"/>
      <w:lang w:val="en-US" w:eastAsia="en-US" w:bidi="th-TH"/>
    </w:rPr>
  </w:style>
  <w:style w:type="paragraph" w:styleId="Header">
    <w:name w:val="header"/>
    <w:basedOn w:val="Normal"/>
    <w:link w:val="HeaderChar"/>
    <w:uiPriority w:val="99"/>
    <w:rsid w:val="00CC788C"/>
    <w:pPr>
      <w:tabs>
        <w:tab w:val="center" w:pos="4536"/>
        <w:tab w:val="right" w:pos="9072"/>
      </w:tabs>
    </w:pPr>
    <w:rPr>
      <w:rFonts w:cs="Angsana New"/>
      <w:lang w:val="en-US" w:eastAsia="en-US" w:bidi="th-TH"/>
    </w:rPr>
  </w:style>
  <w:style w:type="character" w:customStyle="1" w:styleId="HeaderChar">
    <w:name w:val="Header Char"/>
    <w:link w:val="Header"/>
    <w:uiPriority w:val="99"/>
    <w:rsid w:val="00CC788C"/>
    <w:rPr>
      <w:sz w:val="24"/>
      <w:szCs w:val="24"/>
      <w:lang w:val="en-US" w:eastAsia="en-US"/>
    </w:rPr>
  </w:style>
  <w:style w:type="paragraph" w:styleId="Footer">
    <w:name w:val="footer"/>
    <w:basedOn w:val="Normal"/>
    <w:link w:val="FooterChar"/>
    <w:rsid w:val="00CC788C"/>
    <w:pPr>
      <w:tabs>
        <w:tab w:val="center" w:pos="4536"/>
        <w:tab w:val="right" w:pos="9072"/>
      </w:tabs>
    </w:pPr>
    <w:rPr>
      <w:rFonts w:cs="Angsana New"/>
      <w:lang w:val="en-US" w:eastAsia="en-US" w:bidi="th-TH"/>
    </w:rPr>
  </w:style>
  <w:style w:type="character" w:customStyle="1" w:styleId="FooterChar">
    <w:name w:val="Footer Char"/>
    <w:link w:val="Footer"/>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cs="Angsana New"/>
      <w:sz w:val="16"/>
      <w:szCs w:val="20"/>
      <w:lang w:val="en-US" w:eastAsia="en-US" w:bidi="th-TH"/>
    </w:rPr>
  </w:style>
  <w:style w:type="character" w:customStyle="1" w:styleId="BalloonTextChar">
    <w:name w:val="Balloon Text Char"/>
    <w:link w:val="BalloonText"/>
    <w:rsid w:val="00CC788C"/>
    <w:rPr>
      <w:rFonts w:ascii="Tahoma" w:hAnsi="Tahoma" w:cs="Angsana New"/>
      <w:sz w:val="16"/>
      <w:lang w:val="en-US" w:eastAsia="en-US" w:bidi="th-TH"/>
    </w:rPr>
  </w:style>
  <w:style w:type="character" w:styleId="Hyperlink">
    <w:name w:val="Hyperlink"/>
    <w:basedOn w:val="DefaultParagraphFont"/>
    <w:rsid w:val="00931AE4"/>
    <w:rPr>
      <w:color w:val="0000FF"/>
      <w:u w:val="single"/>
    </w:rPr>
  </w:style>
  <w:style w:type="character" w:styleId="UnresolvedMention">
    <w:name w:val="Unresolved Mention"/>
    <w:basedOn w:val="DefaultParagraphFont"/>
    <w:rsid w:val="0054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60205">
      <w:bodyDiv w:val="1"/>
      <w:marLeft w:val="0"/>
      <w:marRight w:val="0"/>
      <w:marTop w:val="0"/>
      <w:marBottom w:val="0"/>
      <w:divBdr>
        <w:top w:val="none" w:sz="0" w:space="0" w:color="auto"/>
        <w:left w:val="none" w:sz="0" w:space="0" w:color="auto"/>
        <w:bottom w:val="none" w:sz="0" w:space="0" w:color="auto"/>
        <w:right w:val="none" w:sz="0" w:space="0" w:color="auto"/>
      </w:divBdr>
      <w:divsChild>
        <w:div w:id="68748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gress@archery.sport" TargetMode="External"/><Relationship Id="rId3" Type="http://schemas.openxmlformats.org/officeDocument/2006/relationships/webSettings" Target="webSettings.xml"/><Relationship Id="rId7" Type="http://schemas.openxmlformats.org/officeDocument/2006/relationships/hyperlink" Target="https://worldarchery.sport/rulebook/article/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archery.sport/rulebook/article/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1%20Office%20Administration\Templates\General\12_WA_letterhead_plai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12_WA_letterhead_plain_NEW</Template>
  <TotalTime>2</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Flash Interview from Finals</vt:lpstr>
    </vt:vector>
  </TitlesOfParts>
  <Company>FITA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Tom Dielen</dc:creator>
  <cp:lastModifiedBy>Tom Dielen</cp:lastModifiedBy>
  <cp:revision>2</cp:revision>
  <dcterms:created xsi:type="dcterms:W3CDTF">2021-06-05T13:24:00Z</dcterms:created>
  <dcterms:modified xsi:type="dcterms:W3CDTF">2021-06-05T13:24:00Z</dcterms:modified>
</cp:coreProperties>
</file>